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E478F7"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E478F7">
        <w:rPr>
          <w:rFonts w:ascii="Verdana" w:hAnsi="Verdana"/>
          <w:color w:val="auto"/>
          <w:sz w:val="20"/>
          <w:szCs w:val="20"/>
        </w:rPr>
        <w:t>Annex 7, Criteria and conditions for evaluating tenders, to the tender T&amp;Cs</w:t>
      </w:r>
      <w:bookmarkEnd w:id="0"/>
      <w:bookmarkEnd w:id="1"/>
      <w:bookmarkEnd w:id="2"/>
    </w:p>
    <w:p w14:paraId="6A0BFF9D" w14:textId="77777777" w:rsidR="00FE3D7C" w:rsidRPr="00E478F7" w:rsidRDefault="00FE3D7C" w:rsidP="00FE3D7C">
      <w:pPr>
        <w:jc w:val="center"/>
        <w:rPr>
          <w:rFonts w:ascii="Verdana" w:hAnsi="Verdana"/>
          <w:b/>
          <w:sz w:val="20"/>
          <w:szCs w:val="20"/>
        </w:rPr>
      </w:pPr>
    </w:p>
    <w:p w14:paraId="5D3ED609" w14:textId="627F213F" w:rsidR="00203725" w:rsidRPr="00E478F7" w:rsidRDefault="00FE3D7C" w:rsidP="002058A4">
      <w:pPr>
        <w:pStyle w:val="Subtitle"/>
        <w:jc w:val="center"/>
        <w:rPr>
          <w:rFonts w:ascii="Verdana" w:hAnsi="Verdana" w:cstheme="minorHAnsi"/>
          <w:b/>
          <w:bCs/>
          <w:smallCaps/>
          <w:sz w:val="20"/>
          <w:szCs w:val="20"/>
        </w:rPr>
      </w:pPr>
      <w:r w:rsidRPr="00E478F7">
        <w:rPr>
          <w:rFonts w:ascii="Verdana" w:hAnsi="Verdana"/>
          <w:b/>
          <w:bCs/>
          <w:sz w:val="20"/>
          <w:szCs w:val="20"/>
        </w:rPr>
        <w:t>CRITERIA AND CONDITIONS FOR THE EVALUATION OF TENDERS</w:t>
      </w:r>
    </w:p>
    <w:p w14:paraId="2A953AEC" w14:textId="77777777" w:rsidR="00210870" w:rsidRPr="00E478F7" w:rsidRDefault="00210870" w:rsidP="00210870">
      <w:pPr>
        <w:spacing w:line="240" w:lineRule="auto"/>
        <w:ind w:left="7314"/>
        <w:rPr>
          <w:rFonts w:ascii="Verdana" w:hAnsi="Verdana" w:cs="Arial"/>
          <w:sz w:val="20"/>
          <w:szCs w:val="20"/>
        </w:rPr>
      </w:pPr>
    </w:p>
    <w:p w14:paraId="5B9A8B59" w14:textId="688702C6" w:rsidR="00FC662B" w:rsidRPr="00E478F7" w:rsidRDefault="00FC662B" w:rsidP="00186ED1">
      <w:pPr>
        <w:pStyle w:val="paragrafesrasas2lygis"/>
        <w:numPr>
          <w:ilvl w:val="0"/>
          <w:numId w:val="22"/>
        </w:numPr>
        <w:rPr>
          <w:rFonts w:ascii="Verdana" w:hAnsi="Verdana" w:cstheme="minorHAnsi"/>
          <w:sz w:val="20"/>
          <w:szCs w:val="20"/>
        </w:rPr>
      </w:pPr>
      <w:r w:rsidRPr="00E478F7">
        <w:rPr>
          <w:rFonts w:ascii="Verdana" w:hAnsi="Verdana"/>
          <w:sz w:val="20"/>
          <w:szCs w:val="20"/>
        </w:rPr>
        <w:t>The contracting authority shall select the most economically advantageous tender on the basis of the supplier’s tender price. The lowest price tender is considered the most economically advantageous tender.</w:t>
      </w:r>
    </w:p>
    <w:p w14:paraId="20B0EC8A" w14:textId="210C8FF1" w:rsidR="005A65C8" w:rsidRPr="00E478F7" w:rsidRDefault="00FC662B" w:rsidP="002D2762">
      <w:pPr>
        <w:pStyle w:val="paragrafesrasas2lygis"/>
        <w:numPr>
          <w:ilvl w:val="0"/>
          <w:numId w:val="22"/>
        </w:numPr>
        <w:rPr>
          <w:rFonts w:ascii="Verdana" w:hAnsi="Verdana" w:cstheme="minorHAnsi"/>
          <w:sz w:val="20"/>
          <w:szCs w:val="20"/>
        </w:rPr>
      </w:pPr>
      <w:r w:rsidRPr="00E478F7">
        <w:rPr>
          <w:rFonts w:ascii="Verdana" w:hAnsi="Verdana"/>
          <w:sz w:val="20"/>
          <w:szCs w:val="20"/>
        </w:rPr>
        <w:t xml:space="preserve">The prices quoted in the tenders will be evaluated in euro, inclusive of all taxes and other related costs, including VAT. In case of different VAT taxable statuses, the evaluation of suppliers’ tenders will be carried out in accordance with the interpretation provided by the Public Procurement Office, available at: </w:t>
      </w:r>
      <w:hyperlink r:id="rId11" w:history="1">
        <w:r w:rsidRPr="00E478F7">
          <w:rPr>
            <w:rStyle w:val="Hyperlink"/>
            <w:rFonts w:ascii="Verdana" w:hAnsi="Verdana"/>
            <w:sz w:val="20"/>
            <w:szCs w:val="20"/>
            <w:u w:val="single"/>
          </w:rPr>
          <w:t>https://klausk.vpt.lt/hc/lt/articles/115005730785-Kaip-vertinti-pasi%C5%ABlymus-kai-tiek%C4%97j%C5%B3-statusas-pagal-PVM-mok%C4%97jim%C4%85-yra-nevienodas-</w:t>
        </w:r>
      </w:hyperlink>
      <w:r w:rsidRPr="00E478F7">
        <w:rPr>
          <w:rFonts w:ascii="Verdana" w:hAnsi="Verdana"/>
          <w:sz w:val="20"/>
          <w:szCs w:val="20"/>
        </w:rPr>
        <w:t>. If the prices in the tenders are quoted in foreign currency, they will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deadline for the submission of Tenders.</w:t>
      </w:r>
    </w:p>
    <w:p w14:paraId="0EE920F4" w14:textId="3DC3AD05" w:rsidR="00A4599F" w:rsidRPr="00E478F7" w:rsidRDefault="009B6F95" w:rsidP="00A5751B">
      <w:pPr>
        <w:jc w:val="center"/>
        <w:rPr>
          <w:rFonts w:ascii="Verdana" w:hAnsi="Verdana" w:cstheme="minorHAnsi"/>
          <w:b/>
          <w:bCs/>
          <w:smallCaps/>
          <w:sz w:val="20"/>
          <w:szCs w:val="20"/>
        </w:rPr>
      </w:pPr>
      <w:r w:rsidRPr="00E478F7">
        <w:rPr>
          <w:rFonts w:ascii="Verdana" w:hAnsi="Verdana"/>
          <w:sz w:val="20"/>
          <w:szCs w:val="20"/>
        </w:rPr>
        <w:t>__________</w:t>
      </w:r>
    </w:p>
    <w:sectPr w:rsidR="00A4599F" w:rsidRPr="00E478F7" w:rsidSect="00086C23">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0D27" w14:textId="77777777" w:rsidR="003A5E2E" w:rsidRDefault="003A5E2E" w:rsidP="00D05666">
      <w:r>
        <w:separator/>
      </w:r>
    </w:p>
  </w:endnote>
  <w:endnote w:type="continuationSeparator" w:id="0">
    <w:p w14:paraId="705CE36B" w14:textId="77777777" w:rsidR="003A5E2E" w:rsidRDefault="003A5E2E" w:rsidP="00D05666">
      <w:r>
        <w:continuationSeparator/>
      </w:r>
    </w:p>
  </w:endnote>
  <w:endnote w:type="continuationNotice" w:id="1">
    <w:p w14:paraId="6AFEC719" w14:textId="77777777" w:rsidR="003A5E2E" w:rsidRDefault="003A5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B5E1C" w14:textId="77777777" w:rsidR="003A5E2E" w:rsidRDefault="003A5E2E" w:rsidP="00D05666">
      <w:r>
        <w:separator/>
      </w:r>
    </w:p>
  </w:footnote>
  <w:footnote w:type="continuationSeparator" w:id="0">
    <w:p w14:paraId="3E01F36B" w14:textId="77777777" w:rsidR="003A5E2E" w:rsidRDefault="003A5E2E" w:rsidP="00D05666">
      <w:r>
        <w:continuationSeparator/>
      </w:r>
    </w:p>
  </w:footnote>
  <w:footnote w:type="continuationNotice" w:id="1">
    <w:p w14:paraId="2A4C465C" w14:textId="77777777" w:rsidR="003A5E2E" w:rsidRDefault="003A5E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2"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8"/>
  </w:num>
  <w:num w:numId="11" w16cid:durableId="1318921492">
    <w:abstractNumId w:val="10"/>
  </w:num>
  <w:num w:numId="12" w16cid:durableId="1864435576">
    <w:abstractNumId w:val="16"/>
  </w:num>
  <w:num w:numId="13" w16cid:durableId="1338071248">
    <w:abstractNumId w:val="21"/>
  </w:num>
  <w:num w:numId="14" w16cid:durableId="1044479709">
    <w:abstractNumId w:val="6"/>
  </w:num>
  <w:num w:numId="15" w16cid:durableId="1208450843">
    <w:abstractNumId w:val="1"/>
  </w:num>
  <w:num w:numId="16" w16cid:durableId="1338923714">
    <w:abstractNumId w:val="4"/>
  </w:num>
  <w:num w:numId="17" w16cid:durableId="127867768">
    <w:abstractNumId w:val="18"/>
  </w:num>
  <w:num w:numId="18" w16cid:durableId="61369776">
    <w:abstractNumId w:val="9"/>
  </w:num>
  <w:num w:numId="19" w16cid:durableId="1178076639">
    <w:abstractNumId w:val="11"/>
  </w:num>
  <w:num w:numId="20" w16cid:durableId="1999773181">
    <w:abstractNumId w:val="5"/>
  </w:num>
  <w:num w:numId="21" w16cid:durableId="554586782">
    <w:abstractNumId w:val="2"/>
  </w:num>
  <w:num w:numId="22" w16cid:durableId="96543385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2E"/>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7F0"/>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269"/>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8F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7C6DA8F-FC81-4F11-875C-5C31539E7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902</Words>
  <Characters>515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15</cp:revision>
  <dcterms:created xsi:type="dcterms:W3CDTF">2023-05-23T12:39:00Z</dcterms:created>
  <dcterms:modified xsi:type="dcterms:W3CDTF">2026-03-23T16:50:00Z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